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pPr>
      <w:bookmarkStart w:colFirst="0" w:colLast="0" w:name="_7eqh96oodfim" w:id="0"/>
      <w:bookmarkEnd w:id="0"/>
      <w:r w:rsidDel="00000000" w:rsidR="00000000" w:rsidRPr="00000000">
        <w:rPr>
          <w:rtl w:val="0"/>
        </w:rPr>
        <w:t xml:space="preserve">Important stuff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Toate numele si prenumele beneficiarilor de burse trebuie sa fie scrise cu majuscule, fara diacritice si caractere speciale : ( , ), - nu trebuie sa existe.</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La fisierul excel destinat ING-ului, pe langa cele mentionate mai sus, numele + prenumele nu trebuie sa depaseasca 35 de caractere. In caz contrar acea inregistrare va aparea ca eroare</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Pentru BRD trebuie pastrat cu sfintenie formatul fisierului excel in baza caruia se face exportul CSV. In caz contrar va rezulta o eroare “Lipsa capete de coloana …” in momentul upload-ului. Totodata, separarea in fisierul CSV se face cu ; (punct si virgula), nu , (virgula). De asemeni, nu trebuie sa existe spatii goale la finalul fisierului.</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Pentru BCR trebuie pastrat cu sfintenie formatul fisierului excel in baza caruia se face exportu Text (TAB delimited). In caz contrar va aparea eroare pe platforma lor. De asemeni, nu trebuie sa existe spatii goale la finalul fisierului.</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Pentru Banca Transilvania trebuie folosita o aplicatie de codare a fisierului excel, aplicatie pusa la dispozitie de catre banca.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Datele din fisiere nu sunt reale!</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